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 w:rsidR="00E14CA5">
        <w:rPr>
          <w:rFonts w:ascii="Times New Roman" w:hAnsi="Times New Roman" w:cs="Times New Roman"/>
          <w:bCs/>
          <w:color w:val="494C4C"/>
        </w:rPr>
        <w:t xml:space="preserve"> </w:t>
      </w:r>
      <w:r w:rsidR="009872BA">
        <w:rPr>
          <w:rFonts w:ascii="Times New Roman" w:hAnsi="Times New Roman" w:cs="Times New Roman"/>
          <w:bCs/>
          <w:color w:val="494C4C"/>
        </w:rPr>
        <w:t>17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 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5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6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пациентам </w:t>
      </w:r>
      <w:r w:rsidRPr="009872BA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 при заболеваниях и (или) состояниях опорно-двигательного аппарата и периферической нервной системы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в условиях круглосуточного стационара </w:t>
      </w:r>
    </w:p>
    <w:p w:rsidR="000E2175" w:rsidRPr="00F40F6F" w:rsidRDefault="000E2175" w:rsidP="000E21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определяют порядок организации деятельности стационарного отделения медицинской реабилитации </w:t>
      </w:r>
      <w:r w:rsidRPr="009872BA">
        <w:rPr>
          <w:rFonts w:ascii="Times New Roman" w:hAnsi="Times New Roman" w:cs="Times New Roman"/>
          <w:sz w:val="28"/>
          <w:szCs w:val="28"/>
        </w:rPr>
        <w:t>пациентам с ограничением жизнедеятельности, нарушением функций и структур при заболеваниях и (или) состояниях опорно-двигательного аппарата и периферической нервной  системы</w:t>
      </w:r>
      <w:r w:rsidRPr="00F40F6F">
        <w:rPr>
          <w:rFonts w:ascii="Times New Roman" w:hAnsi="Times New Roman" w:cs="Times New Roman"/>
          <w:bCs/>
          <w:sz w:val="28"/>
          <w:szCs w:val="28"/>
        </w:rPr>
        <w:t xml:space="preserve"> (далее - Отделение).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F6F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может разворачиваться в структуре  специализированного центра медицинской реабилитации </w:t>
      </w:r>
      <w:r w:rsidRPr="009872BA">
        <w:rPr>
          <w:rFonts w:ascii="Times New Roman" w:hAnsi="Times New Roman" w:cs="Times New Roman"/>
          <w:sz w:val="28"/>
          <w:szCs w:val="28"/>
        </w:rPr>
        <w:t>пациентов с ограничением жизнедеятельности, нарушением функций и структур при заболеваниях и (или) состояниях опорно-двигательного аппарата и периферической нервной системы</w:t>
      </w:r>
      <w:r w:rsidRPr="00F40F6F">
        <w:rPr>
          <w:rFonts w:ascii="Times New Roman" w:hAnsi="Times New Roman" w:cs="Times New Roman"/>
          <w:sz w:val="28"/>
          <w:szCs w:val="28"/>
        </w:rPr>
        <w:t xml:space="preserve">, (далее Центр), быть структурным подразделением многопрофильного центра медицинской реабилитации, а так же структурным подразделением многопрофильной медицинской </w:t>
      </w:r>
      <w:proofErr w:type="spellStart"/>
      <w:r w:rsidRPr="00F40F6F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Pr="00F40F6F">
        <w:rPr>
          <w:rFonts w:ascii="Times New Roman" w:hAnsi="Times New Roman" w:cs="Times New Roman"/>
          <w:sz w:val="28"/>
          <w:szCs w:val="28"/>
        </w:rPr>
        <w:t xml:space="preserve"> со стационаром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0F6F">
        <w:rPr>
          <w:rFonts w:ascii="Times New Roman" w:hAnsi="Times New Roman" w:cs="Times New Roman"/>
          <w:sz w:val="28"/>
          <w:szCs w:val="28"/>
        </w:rPr>
        <w:t>00 коек.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Отделение разворачивается в медицинской организации, имеющей отделения анестезиологии-реанимации, лучевой диагностики (в том числе рентгеновских методов исследования с возможностью проведения компьютерной томографии в круглосуточном режиме), функциональной диагностики, ультразвуковой диагностики, лабораторной диагностики.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В Отделение госпитализируются пациенты по завершении острого периода заболевания или травмы, имеющие реабилитационный потенциал, не имеющие противопоказаний для проведения отдельных методов реабилитации, нуждающиеся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интенсивных методов лечения и интенсивной реабилитации, оцененные по ШРМ от 4-х до 6-ти баллов.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</w:t>
      </w:r>
      <w:hyperlink r:id="rId7" w:anchor="block_1000" w:history="1">
        <w:r w:rsidRPr="00F40F6F">
          <w:rPr>
            <w:rFonts w:ascii="Times New Roman" w:hAnsi="Times New Roman" w:cs="Times New Roman"/>
            <w:bCs/>
            <w:sz w:val="28"/>
            <w:szCs w:val="28"/>
          </w:rPr>
          <w:t>Квалификационным</w:t>
        </w:r>
        <w:r w:rsidRPr="00F40F6F">
          <w:rPr>
            <w:rFonts w:ascii="Times New Roman" w:hAnsi="Times New Roman" w:cs="Times New Roman"/>
            <w:bCs/>
            <w:sz w:val="28"/>
            <w:szCs w:val="28"/>
            <w:lang w:val="en-US"/>
          </w:rPr>
          <w:t> </w:t>
        </w:r>
        <w:r w:rsidRPr="00F40F6F">
          <w:rPr>
            <w:rFonts w:ascii="Times New Roman" w:hAnsi="Times New Roman" w:cs="Times New Roman"/>
            <w:bCs/>
            <w:sz w:val="28"/>
            <w:szCs w:val="28"/>
          </w:rPr>
          <w:t>требованиям</w:t>
        </w:r>
      </w:hyperlink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" w:history="1">
        <w:r w:rsidRPr="00F40F6F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и </w:t>
      </w:r>
      <w:r w:rsidRPr="00F40F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социального развития Российской Федерации от 7 июля 2009 г. </w:t>
      </w:r>
      <w:r w:rsidRPr="00F40F6F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F40F6F">
        <w:rPr>
          <w:rFonts w:ascii="Times New Roman" w:hAnsi="Times New Roman" w:cs="Times New Roman"/>
          <w:bCs/>
          <w:sz w:val="28"/>
          <w:szCs w:val="28"/>
        </w:rPr>
        <w:t>415н, по специальности "неврология", а так же «физическая и реабилитационная медицина»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Структура Отделения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r:id="rId9" w:anchor="block_8000" w:history="1">
        <w:r w:rsidRPr="00F40F6F">
          <w:rPr>
            <w:rFonts w:ascii="Times New Roman" w:hAnsi="Times New Roman" w:cs="Times New Roman"/>
            <w:bCs/>
            <w:sz w:val="28"/>
            <w:szCs w:val="28"/>
          </w:rPr>
          <w:t>приложением</w:t>
        </w:r>
        <w:r w:rsidRPr="00F40F6F">
          <w:rPr>
            <w:rFonts w:ascii="Times New Roman" w:hAnsi="Times New Roman" w:cs="Times New Roman"/>
            <w:bCs/>
            <w:sz w:val="28"/>
            <w:szCs w:val="28"/>
            <w:lang w:val="en-US"/>
          </w:rPr>
          <w:t> N </w:t>
        </w:r>
        <w:r w:rsidRPr="00F40F6F">
          <w:rPr>
            <w:rFonts w:ascii="Times New Roman" w:hAnsi="Times New Roman" w:cs="Times New Roman"/>
            <w:bCs/>
            <w:sz w:val="28"/>
            <w:szCs w:val="28"/>
          </w:rPr>
          <w:t>10.1</w:t>
        </w:r>
      </w:hyperlink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к Порядку организации медицинской реабилитации, утвержденному настоящим приказом.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Отделение осуществляет следующие функции: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организация квалифицированной диагностической, лечебной, реабилитационной и экспертной помощи по соответствующему профилю;</w:t>
      </w:r>
    </w:p>
    <w:p w:rsidR="000E2175" w:rsidRPr="00F40F6F" w:rsidRDefault="000E2175" w:rsidP="000E2175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- подробная оценка клинического состояния пациентов с нарушением функций и жизнедеятельности при заболеваниях </w:t>
      </w:r>
      <w:r>
        <w:rPr>
          <w:rFonts w:ascii="Times New Roman" w:hAnsi="Times New Roman" w:cs="Times New Roman"/>
          <w:bCs/>
          <w:sz w:val="28"/>
          <w:szCs w:val="28"/>
        </w:rPr>
        <w:t>опорно-двигательного аппарата и периферической нервной системы</w:t>
      </w:r>
      <w:r w:rsidRPr="00F40F6F">
        <w:rPr>
          <w:rFonts w:ascii="Times New Roman" w:hAnsi="Times New Roman" w:cs="Times New Roman"/>
          <w:bCs/>
          <w:sz w:val="28"/>
          <w:szCs w:val="28"/>
        </w:rPr>
        <w:t>: оценка функции глотания, эффективности внешнего дыхания, выделительной функции, эффективности (достаточности) питания, морфологических параметров организма, функциональных резервов организма, постуральной и двигательной функции, способности к передвижению, толерантности к физической нагрузке, функции слуха, обоняния, глотания, жевания, прикуса, манипулятивной функции руки, функции центральной и периферической нервных систем, функции вегетативной нервной системы, когнитивной функции (внимания, восприятия, памяти, праксиса и гнозиса, управляющих функций), функции речи;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оценка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</w:t>
      </w:r>
      <w:proofErr w:type="spellStart"/>
      <w:r w:rsidRPr="00F40F6F">
        <w:rPr>
          <w:rFonts w:ascii="Times New Roman" w:hAnsi="Times New Roman" w:cs="Times New Roman"/>
          <w:bCs/>
          <w:sz w:val="28"/>
          <w:szCs w:val="28"/>
        </w:rPr>
        <w:t>психо-моторной</w:t>
      </w:r>
      <w:proofErr w:type="spellEnd"/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возбудимости и другое);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оценка психо-эмоционального состояния и коммуникаций пациента, нарушений бытовых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определение перспективы восстановления функций (реабилитационного потенциала);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определение реабилитационного диагноза;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составление индивидуальной программы медицинской реабилитации;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выполнение индивидуальной программы медицинской реабилитации;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профилактика осложнений;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подбор технических средств реабилитации (при необходимости) и рекомендации по их получению и применению;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контроль эффективности и безопасности реабилитационного процесса;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обоснование рекомендаций по дальнейшему лечению и медицинской </w:t>
      </w:r>
      <w:r w:rsidRPr="00F40F6F">
        <w:rPr>
          <w:rFonts w:ascii="Times New Roman" w:hAnsi="Times New Roman" w:cs="Times New Roman"/>
          <w:bCs/>
          <w:sz w:val="28"/>
          <w:szCs w:val="28"/>
        </w:rPr>
        <w:lastRenderedPageBreak/>
        <w:t>реабилитации;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пациента, находящегося на реабилитационном лечении;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ведение медицинской документации единого образца, в том числе электронной медицинской карты; подготовка и представление в медицинскую организацию по месту жительства пациента (с учетом права пациента на выбор медицинской организации)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осуществление экспертизы временной нетрудоспособности;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консультативной и организационно-методической помощи медицинским организациям по вопросам медицинской реабилитации, в том числе в режиме </w:t>
      </w:r>
      <w:proofErr w:type="spellStart"/>
      <w:r w:rsidRPr="00F40F6F">
        <w:rPr>
          <w:rFonts w:ascii="Times New Roman" w:hAnsi="Times New Roman" w:cs="Times New Roman"/>
          <w:bCs/>
          <w:sz w:val="28"/>
          <w:szCs w:val="28"/>
        </w:rPr>
        <w:t>телеконсультироования</w:t>
      </w:r>
      <w:proofErr w:type="spellEnd"/>
      <w:r w:rsidRPr="00F40F6F">
        <w:rPr>
          <w:rFonts w:ascii="Times New Roman" w:hAnsi="Times New Roman" w:cs="Times New Roman"/>
          <w:bCs/>
          <w:sz w:val="28"/>
          <w:szCs w:val="28"/>
        </w:rPr>
        <w:t>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участие в мероприятий по профилактике и  гигиеническом воспитании населения;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иные функции в соответствии с законодательством Российской Федерации.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Реабилитационные мероприятия в Отделении проводятся в специально оборудованных помещениях: в палате у постели пациента, в кабинетах</w:t>
      </w:r>
      <w:r>
        <w:rPr>
          <w:rFonts w:ascii="Times New Roman" w:hAnsi="Times New Roman" w:cs="Times New Roman"/>
          <w:bCs/>
          <w:sz w:val="28"/>
          <w:szCs w:val="28"/>
        </w:rPr>
        <w:t>/залах</w:t>
      </w:r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кинезотерапии, логопеда, медицинского психолога, эрготерапии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Отделения; 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Оснащение Отделения осуществляется в соответствии со стандартом оснащения, предусмотренным </w:t>
      </w:r>
      <w:hyperlink r:id="rId10" w:anchor="block_9000" w:history="1">
        <w:r w:rsidRPr="00F40F6F">
          <w:rPr>
            <w:rFonts w:ascii="Times New Roman" w:hAnsi="Times New Roman" w:cs="Times New Roman"/>
            <w:bCs/>
            <w:sz w:val="28"/>
            <w:szCs w:val="28"/>
          </w:rPr>
          <w:t>приложением</w:t>
        </w:r>
        <w:r w:rsidRPr="00F40F6F">
          <w:rPr>
            <w:rFonts w:ascii="Times New Roman" w:hAnsi="Times New Roman" w:cs="Times New Roman"/>
            <w:bCs/>
            <w:sz w:val="28"/>
            <w:szCs w:val="28"/>
            <w:lang w:val="en-US"/>
          </w:rPr>
          <w:t> N </w:t>
        </w:r>
        <w:r w:rsidRPr="00F40F6F">
          <w:rPr>
            <w:rFonts w:ascii="Times New Roman" w:hAnsi="Times New Roman" w:cs="Times New Roman"/>
            <w:bCs/>
            <w:sz w:val="28"/>
            <w:szCs w:val="28"/>
          </w:rPr>
          <w:t>10.2</w:t>
        </w:r>
      </w:hyperlink>
      <w:r w:rsidRPr="00F40F6F">
        <w:rPr>
          <w:rFonts w:ascii="Times New Roman" w:hAnsi="Times New Roman" w:cs="Times New Roman"/>
          <w:bCs/>
          <w:sz w:val="28"/>
          <w:szCs w:val="28"/>
        </w:rPr>
        <w:t xml:space="preserve"> к Порядку организации медицинской реабилитации, утвержденному настоящим приказом.</w:t>
      </w:r>
    </w:p>
    <w:p w:rsidR="000E2175" w:rsidRPr="00F40F6F" w:rsidRDefault="000E2175" w:rsidP="000E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0E2175" w:rsidRPr="000862C8" w:rsidRDefault="000E2175" w:rsidP="000E2175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lastRenderedPageBreak/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</w:t>
      </w:r>
      <w:r w:rsidR="009872BA">
        <w:rPr>
          <w:rFonts w:ascii="Times New Roman" w:hAnsi="Times New Roman" w:cs="Times New Roman"/>
          <w:bCs/>
          <w:color w:val="494C4C"/>
        </w:rPr>
        <w:t>17</w:t>
      </w:r>
      <w:r>
        <w:rPr>
          <w:rFonts w:ascii="Times New Roman" w:hAnsi="Times New Roman" w:cs="Times New Roman"/>
          <w:bCs/>
          <w:color w:val="494C4C"/>
        </w:rPr>
        <w:t>.1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 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11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12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0E2175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Рекомендуемые  штатные нормативы </w:t>
      </w:r>
      <w:r w:rsidRPr="00E0112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реабилитации, оказывающем помощь по медицинской реабилитации в условиях круглосуточного стационара пациентам </w:t>
      </w:r>
      <w:r w:rsidRPr="009872BA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 при заболеваниях и (или) состояниях опорно-двигательного аппарата и периферической нервной системы</w:t>
      </w:r>
      <w:r w:rsidRPr="00E01129">
        <w:rPr>
          <w:rFonts w:ascii="Times New Roman" w:hAnsi="Times New Roman" w:cs="Times New Roman"/>
          <w:b/>
        </w:rPr>
        <w:t xml:space="preserve"> </w:t>
      </w:r>
    </w:p>
    <w:p w:rsidR="000E2175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965"/>
        <w:gridCol w:w="2391"/>
        <w:gridCol w:w="2392"/>
      </w:tblGrid>
      <w:tr w:rsidR="000E2175" w:rsidTr="00AB69B1">
        <w:tc>
          <w:tcPr>
            <w:tcW w:w="817" w:type="dxa"/>
            <w:vMerge w:val="restart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  <w:bCs/>
                <w:color w:val="494C4C"/>
                <w:lang w:val="en-US"/>
              </w:rPr>
              <w:t>N п/п</w:t>
            </w:r>
          </w:p>
        </w:tc>
        <w:tc>
          <w:tcPr>
            <w:tcW w:w="3965" w:type="dxa"/>
            <w:vMerge w:val="restart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Наименование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должности</w:t>
            </w:r>
            <w:proofErr w:type="spellEnd"/>
          </w:p>
        </w:tc>
        <w:tc>
          <w:tcPr>
            <w:tcW w:w="4783" w:type="dxa"/>
            <w:gridSpan w:val="2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Количество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должностей</w:t>
            </w:r>
            <w:proofErr w:type="spellEnd"/>
          </w:p>
        </w:tc>
      </w:tr>
      <w:tr w:rsidR="000E2175" w:rsidTr="00AB69B1">
        <w:tc>
          <w:tcPr>
            <w:tcW w:w="817" w:type="dxa"/>
            <w:vMerge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72BA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72BA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Заведующий стационарным отделением медицинской реабилитации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1 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1 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 xml:space="preserve">Врач-терапевт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1,00</w:t>
            </w:r>
            <w:r w:rsidRPr="003117DA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1,00</w:t>
            </w:r>
            <w:r w:rsidRPr="003117DA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 xml:space="preserve">Врач-рентгенолог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0,50</w:t>
            </w:r>
            <w:r w:rsidRPr="003117DA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0,50</w:t>
            </w:r>
            <w:r w:rsidRPr="003117DA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 xml:space="preserve">Врач-эпидемиолог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0,25</w:t>
            </w:r>
            <w:r w:rsidRPr="003117DA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0,25</w:t>
            </w:r>
            <w:r w:rsidRPr="003117DA">
              <w:rPr>
                <w:rFonts w:ascii="Times New Roman" w:hAnsi="Times New Roman" w:cs="Times New Roman"/>
                <w:bCs/>
              </w:rPr>
              <w:t xml:space="preserve"> 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Врач-ортопед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0,25 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0,25 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 xml:space="preserve">Врач-психиатр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</w:rPr>
              <w:t>Врач-физической и реабилитационной медицины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1 на 10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1 на 10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Кинезиолог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Эргофизиолог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17DA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12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Медицинская сестра палатная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  <w:bCs/>
              </w:rPr>
              <w:t>12,25 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  <w:bCs/>
              </w:rPr>
              <w:t>12,25 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Медицинская сестра процедурной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  <w:bCs/>
              </w:rPr>
              <w:t>2,00 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  <w:bCs/>
              </w:rPr>
              <w:t>2,00 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6CBF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  <w:r w:rsidRPr="00176C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Младшая медицинская сестра по уходу за больными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5,00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5,00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12,25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12,25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Сестра-хозяйка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0,75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0,75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Буфетчица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3,00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3,00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0,50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Санитар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Оператор ЭВМ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0E2175" w:rsidTr="00AB69B1">
        <w:tc>
          <w:tcPr>
            <w:tcW w:w="817" w:type="dxa"/>
          </w:tcPr>
          <w:p w:rsidR="000E2175" w:rsidRPr="001D00E2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0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5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Администратор </w:t>
            </w:r>
          </w:p>
        </w:tc>
        <w:tc>
          <w:tcPr>
            <w:tcW w:w="2391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2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  <w:tc>
          <w:tcPr>
            <w:tcW w:w="2392" w:type="dxa"/>
          </w:tcPr>
          <w:p w:rsidR="000E2175" w:rsidRDefault="000E2175" w:rsidP="00AB6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76CBF">
              <w:rPr>
                <w:rFonts w:ascii="Times New Roman" w:hAnsi="Times New Roman" w:cs="Times New Roman"/>
              </w:rPr>
              <w:t xml:space="preserve">2 </w:t>
            </w:r>
            <w:r w:rsidRPr="00176CBF">
              <w:rPr>
                <w:rFonts w:ascii="Times New Roman" w:hAnsi="Times New Roman" w:cs="Times New Roman"/>
                <w:bCs/>
              </w:rPr>
              <w:t>на 30 коек</w:t>
            </w:r>
          </w:p>
        </w:tc>
      </w:tr>
    </w:tbl>
    <w:p w:rsidR="000E2175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E2175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E2175" w:rsidRPr="00BA65EA" w:rsidRDefault="000E2175" w:rsidP="000E2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BA65EA">
        <w:rPr>
          <w:rFonts w:ascii="Times New Roman" w:hAnsi="Times New Roman" w:cs="Times New Roman"/>
          <w:bCs/>
          <w:color w:val="494C4C"/>
          <w:lang w:val="en-US"/>
        </w:rPr>
        <w:t>Примечания:</w:t>
      </w:r>
    </w:p>
    <w:p w:rsidR="000E2175" w:rsidRPr="00F43718" w:rsidRDefault="000E2175" w:rsidP="000E2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43718">
        <w:rPr>
          <w:rFonts w:ascii="Times New Roman" w:hAnsi="Times New Roman" w:cs="Times New Roman"/>
          <w:bCs/>
          <w:color w:val="494C4C"/>
        </w:rPr>
        <w:t>1. Настоящие рекомендуемые штатные нормативы стационарного отделения медицинской реабилитаци</w:t>
      </w:r>
      <w:r>
        <w:rPr>
          <w:rFonts w:ascii="Times New Roman" w:hAnsi="Times New Roman" w:cs="Times New Roman"/>
          <w:bCs/>
          <w:color w:val="494C4C"/>
        </w:rPr>
        <w:t xml:space="preserve">и </w:t>
      </w:r>
      <w:r w:rsidRPr="00A71D12">
        <w:rPr>
          <w:rFonts w:ascii="Times New Roman" w:hAnsi="Times New Roman" w:cs="Times New Roman"/>
        </w:rPr>
        <w:t xml:space="preserve">пациентов </w:t>
      </w:r>
      <w:r w:rsidRPr="009872BA">
        <w:rPr>
          <w:rFonts w:ascii="Times New Roman" w:hAnsi="Times New Roman" w:cs="Times New Roman"/>
        </w:rPr>
        <w:t>с ограничением жизнедеятельности, нарушением функций и структур при заболеваниях и (или) состояниях опорно-двигательного аппарата и периферической нервной системы</w:t>
      </w:r>
      <w:r w:rsidRPr="00E01129">
        <w:rPr>
          <w:rFonts w:ascii="Times New Roman" w:hAnsi="Times New Roman" w:cs="Times New Roman"/>
          <w:b/>
        </w:rPr>
        <w:t xml:space="preserve"> </w:t>
      </w:r>
      <w:r w:rsidRPr="00F43718">
        <w:rPr>
          <w:rFonts w:ascii="Times New Roman" w:hAnsi="Times New Roman" w:cs="Times New Roman"/>
          <w:bCs/>
          <w:color w:val="494C4C"/>
        </w:rPr>
        <w:t>не распространяются на медицинские организации частной системы здравоохранения.</w:t>
      </w:r>
    </w:p>
    <w:p w:rsidR="000E2175" w:rsidRPr="00F43718" w:rsidRDefault="000E2175" w:rsidP="000E2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43718">
        <w:rPr>
          <w:rFonts w:ascii="Times New Roman" w:hAnsi="Times New Roman" w:cs="Times New Roman"/>
          <w:bCs/>
          <w:color w:val="494C4C"/>
        </w:rPr>
        <w:t>2. В медицинских организациях</w:t>
      </w:r>
      <w:r>
        <w:rPr>
          <w:rFonts w:ascii="Times New Roman" w:hAnsi="Times New Roman" w:cs="Times New Roman"/>
          <w:bCs/>
          <w:color w:val="494C4C"/>
        </w:rPr>
        <w:t xml:space="preserve"> городского, областного</w:t>
      </w:r>
      <w:r w:rsidRPr="00F43718">
        <w:rPr>
          <w:rFonts w:ascii="Times New Roman" w:hAnsi="Times New Roman" w:cs="Times New Roman"/>
          <w:bCs/>
          <w:color w:val="494C4C"/>
        </w:rPr>
        <w:t>,</w:t>
      </w:r>
      <w:r>
        <w:rPr>
          <w:rFonts w:ascii="Times New Roman" w:hAnsi="Times New Roman" w:cs="Times New Roman"/>
          <w:bCs/>
          <w:color w:val="494C4C"/>
        </w:rPr>
        <w:t xml:space="preserve"> краевого подчинения,</w:t>
      </w:r>
      <w:r w:rsidRPr="00F43718">
        <w:rPr>
          <w:rFonts w:ascii="Times New Roman" w:hAnsi="Times New Roman" w:cs="Times New Roman"/>
          <w:bCs/>
          <w:color w:val="494C4C"/>
        </w:rPr>
        <w:t xml:space="preserve"> имеющих в своем составе стационарное отделение медицинской реабилитации </w:t>
      </w:r>
      <w:r w:rsidRPr="00A71D12">
        <w:rPr>
          <w:rFonts w:ascii="Times New Roman" w:hAnsi="Times New Roman" w:cs="Times New Roman"/>
        </w:rPr>
        <w:t xml:space="preserve">пациентов </w:t>
      </w:r>
      <w:r w:rsidRPr="009872BA">
        <w:rPr>
          <w:rFonts w:ascii="Times New Roman" w:hAnsi="Times New Roman" w:cs="Times New Roman"/>
        </w:rPr>
        <w:t>с ограничением жизнедеятельности, нарушением функций и структур при заболеваниях и (или) состояниях опорно-двигательного аппарата и периферической нервной системы</w:t>
      </w:r>
      <w:r w:rsidRPr="00F43718">
        <w:rPr>
          <w:rFonts w:ascii="Times New Roman" w:hAnsi="Times New Roman" w:cs="Times New Roman"/>
          <w:bCs/>
          <w:color w:val="494C4C"/>
        </w:rPr>
        <w:t>, рекомендуется предусматривать дополнительно должности врача-психотерапевта (1 на отделение), врача-диетолога (1 на отделение), врача-уролога (1 на 30 коек), социального работника (1 на отделение), оператора ЭВМ.</w:t>
      </w:r>
    </w:p>
    <w:p w:rsidR="000E2175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</w:t>
      </w:r>
      <w:bookmarkStart w:id="0" w:name="_GoBack"/>
      <w:bookmarkEnd w:id="0"/>
      <w:r w:rsidR="009872BA">
        <w:rPr>
          <w:rFonts w:ascii="Times New Roman" w:hAnsi="Times New Roman" w:cs="Times New Roman"/>
          <w:bCs/>
          <w:color w:val="494C4C"/>
        </w:rPr>
        <w:t>17</w:t>
      </w:r>
      <w:r>
        <w:rPr>
          <w:rFonts w:ascii="Times New Roman" w:hAnsi="Times New Roman" w:cs="Times New Roman"/>
          <w:bCs/>
          <w:color w:val="494C4C"/>
        </w:rPr>
        <w:t>.2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 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13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14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A7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  <w:proofErr w:type="gramStart"/>
      <w:r w:rsidRPr="00BB73A7">
        <w:rPr>
          <w:rFonts w:ascii="Times New Roman" w:hAnsi="Times New Roman" w:cs="Times New Roman"/>
          <w:b/>
          <w:sz w:val="28"/>
          <w:szCs w:val="28"/>
        </w:rPr>
        <w:t>отделении</w:t>
      </w:r>
      <w:proofErr w:type="gramEnd"/>
      <w:r w:rsidRPr="00BB73A7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реабилитации,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оказывающем помощь по медицинской реабилитации в условиях круглосуточного стационара пациентам </w:t>
      </w:r>
      <w:r w:rsidRPr="009872BA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 при заболеваниях и (или) состояниях опорно-двигательного аппарата и периферической нервной системы</w:t>
      </w: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2175" w:rsidRPr="00F43718" w:rsidRDefault="000E2175" w:rsidP="000E2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974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04"/>
        <w:gridCol w:w="3824"/>
        <w:gridCol w:w="2410"/>
        <w:gridCol w:w="2410"/>
      </w:tblGrid>
      <w:tr w:rsidR="000E2175" w:rsidRPr="00BA65EA" w:rsidTr="00AB69B1"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2175" w:rsidRPr="0020462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     п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Наименование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оборудования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Количество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, шт</w:t>
            </w:r>
          </w:p>
        </w:tc>
      </w:tr>
      <w:tr w:rsidR="000E2175" w:rsidRPr="00BA65EA" w:rsidTr="00AB69B1">
        <w:tc>
          <w:tcPr>
            <w:tcW w:w="1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</w:p>
        </w:tc>
        <w:tc>
          <w:tcPr>
            <w:tcW w:w="382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9872BA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9872BA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Функциональная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кровать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Прикроватный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столик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Кресло-туалет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койки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койки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Прикроватная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информационная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доска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(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маркерная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числу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Противопролежневый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матрас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6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6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Кресло-каталка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Массажная кушетка трёх секционная с электроприводом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Стол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кинезотерапии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Мат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напольный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Комплект мягких модулей для зала лечебной физкультуры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CB41D2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94C4C"/>
              </w:rPr>
              <w:t>3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Ортез для коленного сустава (в том числе детский)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Ортез для кисти (в том числе детский)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Ортез для голеностопного сустава (в том числе детский)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15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Подъемник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перемещения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пациента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не менее 1 на 15 коек (2 в детском отделении)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не менее 1 на </w:t>
            </w:r>
            <w:r>
              <w:rPr>
                <w:rFonts w:ascii="Times New Roman" w:hAnsi="Times New Roman" w:cs="Times New Roman"/>
                <w:bCs/>
                <w:color w:val="494C4C"/>
              </w:rPr>
              <w:t>10</w:t>
            </w: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 коек (2 в детском отделении)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"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Шведская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стенка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"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CB41D2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3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Параллельные брусья и ступеньки для обучения ходьбе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Комплекс для транскраниальной магнитной стимуляции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Аппараты для мониторинга артериального давления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5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Рефлекторно-нагрузочные устройства-костюмы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CB41D2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CB41D2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5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Оборудование для логопедического кабинета (магнитофон, </w:t>
            </w:r>
            <w:proofErr w:type="spellStart"/>
            <w:r w:rsidRPr="00F43718">
              <w:rPr>
                <w:rFonts w:ascii="Times New Roman" w:hAnsi="Times New Roman" w:cs="Times New Roman"/>
                <w:bCs/>
                <w:color w:val="494C4C"/>
              </w:rPr>
              <w:t>дитофон</w:t>
            </w:r>
            <w:proofErr w:type="spellEnd"/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, метроном, зеркала, </w:t>
            </w:r>
            <w:proofErr w:type="spellStart"/>
            <w:r w:rsidRPr="00F43718">
              <w:rPr>
                <w:rFonts w:ascii="Times New Roman" w:hAnsi="Times New Roman" w:cs="Times New Roman"/>
                <w:bCs/>
                <w:color w:val="494C4C"/>
              </w:rPr>
              <w:t>тономерт</w:t>
            </w:r>
            <w:proofErr w:type="spellEnd"/>
            <w:r w:rsidRPr="00F43718">
              <w:rPr>
                <w:rFonts w:ascii="Times New Roman" w:hAnsi="Times New Roman" w:cs="Times New Roman"/>
                <w:bCs/>
                <w:color w:val="494C4C"/>
              </w:rPr>
              <w:t>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кабинет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логопеда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кабинет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логопеда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Методические пособия (схемы нейропсихологического обследования. высших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</w:t>
            </w:r>
            <w:r w:rsidRPr="00F43718">
              <w:rPr>
                <w:rFonts w:ascii="Times New Roman" w:hAnsi="Times New Roman" w:cs="Times New Roman"/>
                <w:bCs/>
                <w:color w:val="494C4C"/>
              </w:rPr>
              <w:lastRenderedPageBreak/>
              <w:t>пациентов (сборники упражнений, книги для чтения, рабочие тетради)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lastRenderedPageBreak/>
              <w:t xml:space="preserve">3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комплекта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в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кабинете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логопеда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3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комплекта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в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кабинете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логопеда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23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Портативный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пульсоксиметр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1 на </w:t>
            </w:r>
            <w:r>
              <w:rPr>
                <w:rFonts w:ascii="Times New Roman" w:hAnsi="Times New Roman" w:cs="Times New Roman"/>
                <w:bCs/>
                <w:color w:val="494C4C"/>
              </w:rPr>
              <w:t>кинезиолога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1 на </w:t>
            </w:r>
            <w:r>
              <w:rPr>
                <w:rFonts w:ascii="Times New Roman" w:hAnsi="Times New Roman" w:cs="Times New Roman"/>
                <w:bCs/>
                <w:color w:val="494C4C"/>
              </w:rPr>
              <w:t>кинезиолога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Стабилоплатформа с биологической обратной связью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Велоэргометр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Тредмил медицинский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Система для разгрузки веса тела пациента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 на 10 пациентов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проведения кинезотерапии с разгрузк</w:t>
            </w:r>
            <w:r>
              <w:rPr>
                <w:rFonts w:ascii="Times New Roman" w:hAnsi="Times New Roman" w:cs="Times New Roman"/>
                <w:bCs/>
                <w:color w:val="494C4C"/>
              </w:rPr>
              <w:t>ой</w:t>
            </w: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 веса тела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 для роботизированной механотерапии верхней конечности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Велоэргометр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роботизированный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 на 10 пациентов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Тренажер с биологической обратной связью для тренировки ходьбы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Ингалятор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переносной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Тонометр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1 на </w:t>
            </w:r>
            <w:r>
              <w:rPr>
                <w:rFonts w:ascii="Times New Roman" w:hAnsi="Times New Roman" w:cs="Times New Roman"/>
                <w:bCs/>
                <w:color w:val="494C4C"/>
              </w:rPr>
              <w:t xml:space="preserve">МДБ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1 на </w:t>
            </w:r>
            <w:r>
              <w:rPr>
                <w:rFonts w:ascii="Times New Roman" w:hAnsi="Times New Roman" w:cs="Times New Roman"/>
                <w:bCs/>
                <w:color w:val="494C4C"/>
              </w:rPr>
              <w:t>МДБ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Секундомер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1 на </w:t>
            </w:r>
            <w:r>
              <w:rPr>
                <w:rFonts w:ascii="Times New Roman" w:hAnsi="Times New Roman" w:cs="Times New Roman"/>
                <w:bCs/>
                <w:color w:val="494C4C"/>
              </w:rPr>
              <w:t>кинезиолога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1 на </w:t>
            </w:r>
            <w:r>
              <w:rPr>
                <w:rFonts w:ascii="Times New Roman" w:hAnsi="Times New Roman" w:cs="Times New Roman"/>
                <w:bCs/>
                <w:color w:val="494C4C"/>
              </w:rPr>
              <w:t>кинезиолога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Аппарат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кардиоинтервалографии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 для вакуум-</w:t>
            </w:r>
            <w:r w:rsidRPr="00F43718">
              <w:rPr>
                <w:rFonts w:ascii="Times New Roman" w:hAnsi="Times New Roman" w:cs="Times New Roman"/>
                <w:bCs/>
                <w:color w:val="494C4C"/>
              </w:rPr>
              <w:lastRenderedPageBreak/>
              <w:t>прессотерапии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lastRenderedPageBreak/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40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Переносной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УФО-аппарат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 для лазерной 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Аппарат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импульсных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токов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 электротерапии (постоянный ток)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Аппарат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магнитотерапии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переносной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4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 низкочастотной электротерапии микротоками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3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Аппарат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электромагнитотерапии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переносной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6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Аппарат для пассивной, активно-пассивной механотерапии с биологической обратной связью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менее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12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комплект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комплекта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кабинета лечебной гимнастики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Уродинамическая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установка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комплект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Аппарат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транскраниальной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магнитной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стимуляции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проведения свето-, крио-, теплолечения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B67ABD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</w:t>
            </w:r>
            <w:r w:rsidRPr="00B67ABD">
              <w:rPr>
                <w:rFonts w:ascii="Times New Roman" w:hAnsi="Times New Roman" w:cs="Times New Roman"/>
                <w:bCs/>
              </w:rPr>
              <w:lastRenderedPageBreak/>
              <w:t>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56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проведения вакуум-, прессотерапии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57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роботизированной пассивной, активно-пассивной и активной механотерапии туловища и конечностей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58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Тренажеры для увеличения объема движений в суставах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59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Тренажеры для увеличения силы мышц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60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61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62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социально-бытовой адаптации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комплекс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63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Специализированные стенды для социально-бытовой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комплект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64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65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Приспособления и инструменты для выработки навыков трудовой </w:t>
            </w:r>
            <w:r w:rsidRPr="00F43718">
              <w:rPr>
                <w:rFonts w:ascii="Times New Roman" w:hAnsi="Times New Roman" w:cs="Times New Roman"/>
                <w:bCs/>
                <w:color w:val="494C4C"/>
              </w:rPr>
              <w:lastRenderedPageBreak/>
              <w:t>деятельности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lastRenderedPageBreak/>
              <w:t>66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Специальные пособия и материалы для восстановления мелких целенаправленных движений рук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1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комплект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67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Наборы приспособлений и оборудования для проведения арттерапии (конструкторы, пазлы и прочее)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68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Персональные компьютеры с игровыми программами</w:t>
            </w:r>
            <w:r>
              <w:rPr>
                <w:rFonts w:ascii="Times New Roman" w:hAnsi="Times New Roman" w:cs="Times New Roman"/>
                <w:bCs/>
                <w:color w:val="494C4C"/>
              </w:rPr>
              <w:t xml:space="preserve"> для восстановления когнитивных функций и речи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69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</w:t>
            </w: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психотерапи</w:t>
            </w:r>
            <w:proofErr w:type="spellEnd"/>
            <w:r>
              <w:rPr>
                <w:rFonts w:ascii="Times New Roman" w:hAnsi="Times New Roman" w:cs="Times New Roman"/>
                <w:bCs/>
                <w:color w:val="494C4C"/>
              </w:rPr>
              <w:t>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Гимнастические снаряды и устройства (мячи разного размера, веса, фактуры, гимнастические палки, булавы, гантели, ортезы)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Мониторы сердечного ритма и артериального давления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Оборудование для работы врача </w:t>
            </w:r>
            <w:proofErr w:type="spellStart"/>
            <w:r w:rsidRPr="00F43718">
              <w:rPr>
                <w:rFonts w:ascii="Times New Roman" w:hAnsi="Times New Roman" w:cs="Times New Roman"/>
                <w:bCs/>
                <w:color w:val="494C4C"/>
              </w:rPr>
              <w:t>сурдолога-оториноляринголога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494C4C"/>
                <w:lang w:val="en-US"/>
              </w:rPr>
              <w:t>73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исследования остроты зрения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9872B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автоматической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рефрактометрии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офтальмометрии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циклоплегии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77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оптической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коррекции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78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Оборудование для исследования </w:t>
            </w:r>
            <w:r w:rsidRPr="00F43718">
              <w:rPr>
                <w:rFonts w:ascii="Times New Roman" w:hAnsi="Times New Roman" w:cs="Times New Roman"/>
                <w:bCs/>
                <w:color w:val="494C4C"/>
              </w:rPr>
              <w:lastRenderedPageBreak/>
              <w:t>бинокулярного зрения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lastRenderedPageBreak/>
              <w:t>79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ультразвукового исследования глаза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80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тонометрии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, тонографии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0E6C53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67ABD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81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Оборудование для проведения мануальной 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82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Оборудование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для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проведения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рефлексотерапии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83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Персональный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компьютер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4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 на каждого специалиста МДБ</w:t>
            </w:r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84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Программа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когнитивной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реабилитации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потребованию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2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30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коек</w:t>
            </w:r>
            <w:proofErr w:type="spellEnd"/>
          </w:p>
        </w:tc>
      </w:tr>
      <w:tr w:rsidR="000E2175" w:rsidRPr="00BA65EA" w:rsidTr="00AB69B1">
        <w:tblPrEx>
          <w:tblBorders>
            <w:top w:val="none" w:sz="0" w:space="0" w:color="auto"/>
          </w:tblBorders>
        </w:tblPrEx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85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Программа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индивидуализированной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вторичной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профилактики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761C27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>
              <w:rPr>
                <w:rFonts w:ascii="Times New Roman" w:hAnsi="Times New Roman" w:cs="Times New Roman"/>
                <w:bCs/>
                <w:color w:val="494C4C"/>
              </w:rPr>
              <w:t>1</w:t>
            </w:r>
          </w:p>
        </w:tc>
      </w:tr>
      <w:tr w:rsidR="000E2175" w:rsidRPr="00BA65EA" w:rsidTr="00AB69B1">
        <w:tc>
          <w:tcPr>
            <w:tcW w:w="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75" w:rsidRPr="00BA65EA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86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 xml:space="preserve">Программное обеспечение для </w:t>
            </w:r>
            <w:r>
              <w:rPr>
                <w:rFonts w:ascii="Times New Roman" w:hAnsi="Times New Roman" w:cs="Times New Roman"/>
                <w:bCs/>
                <w:color w:val="494C4C"/>
              </w:rPr>
              <w:t>ведения электронной медицинской карты пациента по медицинской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43718">
              <w:rPr>
                <w:rFonts w:ascii="Times New Roman" w:hAnsi="Times New Roman" w:cs="Times New Roman"/>
                <w:bCs/>
                <w:color w:val="494C4C"/>
              </w:rPr>
              <w:t>По требованию (в зависимости от комплектации)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0E2175" w:rsidRPr="00F43718" w:rsidRDefault="000E2175" w:rsidP="00AB6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94C4C"/>
              </w:rPr>
            </w:pPr>
            <w:r w:rsidRPr="00B67ABD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0E2175" w:rsidRPr="00F43718" w:rsidRDefault="000E2175" w:rsidP="000E2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0E2175" w:rsidRPr="00E01129" w:rsidRDefault="000E2175" w:rsidP="000E21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2175" w:rsidRDefault="000E2175" w:rsidP="000E2175"/>
    <w:p w:rsidR="000E2175" w:rsidRDefault="000E2175" w:rsidP="000E2175"/>
    <w:p w:rsidR="00A07ECA" w:rsidRDefault="00A07ECA"/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2BC8"/>
    <w:multiLevelType w:val="hybridMultilevel"/>
    <w:tmpl w:val="7F9E7698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043B1"/>
    <w:multiLevelType w:val="hybridMultilevel"/>
    <w:tmpl w:val="DEC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75"/>
    <w:rsid w:val="000E2175"/>
    <w:rsid w:val="001F2293"/>
    <w:rsid w:val="009872BA"/>
    <w:rsid w:val="00A07ECA"/>
    <w:rsid w:val="00A4599E"/>
    <w:rsid w:val="00AB69B1"/>
    <w:rsid w:val="00B95F1E"/>
    <w:rsid w:val="00E14CA5"/>
    <w:rsid w:val="00F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75"/>
    <w:pPr>
      <w:ind w:left="720"/>
      <w:contextualSpacing/>
    </w:pPr>
  </w:style>
  <w:style w:type="table" w:styleId="a4">
    <w:name w:val="Table Grid"/>
    <w:basedOn w:val="a1"/>
    <w:uiPriority w:val="59"/>
    <w:rsid w:val="000E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75"/>
    <w:pPr>
      <w:ind w:left="720"/>
      <w:contextualSpacing/>
    </w:pPr>
  </w:style>
  <w:style w:type="table" w:styleId="a4">
    <w:name w:val="Table Grid"/>
    <w:basedOn w:val="a1"/>
    <w:uiPriority w:val="59"/>
    <w:rsid w:val="000E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8285/" TargetMode="External"/><Relationship Id="rId12" Type="http://schemas.openxmlformats.org/officeDocument/2006/relationships/hyperlink" Target="http://base.garant.ru/70330294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30294/" TargetMode="External"/><Relationship Id="rId14" Type="http://schemas.openxmlformats.org/officeDocument/2006/relationships/hyperlink" Target="http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3003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2017-12-05T15:45:00Z</dcterms:created>
  <dcterms:modified xsi:type="dcterms:W3CDTF">2017-12-05T16:13:00Z</dcterms:modified>
</cp:coreProperties>
</file>